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4673" w14:textId="5A14EFA8" w:rsidR="005D2655" w:rsidRPr="00ED7AD9" w:rsidRDefault="005D2655" w:rsidP="005D2655">
      <w:pPr>
        <w:spacing w:line="312" w:lineRule="auto"/>
        <w:jc w:val="center"/>
        <w:rPr>
          <w:b/>
          <w:bCs/>
        </w:rPr>
      </w:pPr>
      <w:r w:rsidRPr="00ED7AD9">
        <w:rPr>
          <w:b/>
          <w:bCs/>
        </w:rPr>
        <w:t xml:space="preserve">Uchwała nr </w:t>
      </w:r>
      <w:r w:rsidR="0029611A">
        <w:rPr>
          <w:b/>
          <w:bCs/>
        </w:rPr>
        <w:t>XIX/104</w:t>
      </w:r>
      <w:r>
        <w:rPr>
          <w:b/>
          <w:bCs/>
        </w:rPr>
        <w:t>/</w:t>
      </w:r>
      <w:r w:rsidRPr="00ED7AD9">
        <w:rPr>
          <w:b/>
          <w:bCs/>
        </w:rPr>
        <w:t>2025</w:t>
      </w:r>
    </w:p>
    <w:p w14:paraId="50276844" w14:textId="77777777" w:rsidR="005D2655" w:rsidRDefault="005D2655" w:rsidP="005D2655">
      <w:pPr>
        <w:spacing w:line="312" w:lineRule="auto"/>
        <w:jc w:val="center"/>
      </w:pPr>
      <w:r w:rsidRPr="00ED7AD9">
        <w:t>Rad</w:t>
      </w:r>
      <w:r>
        <w:t>y</w:t>
      </w:r>
      <w:r w:rsidRPr="00ED7AD9">
        <w:t xml:space="preserve"> Miejskiej w Stawiszynie </w:t>
      </w:r>
    </w:p>
    <w:p w14:paraId="12D7E547" w14:textId="35BFE2EC" w:rsidR="005D2655" w:rsidRPr="00ED7AD9" w:rsidRDefault="005D2655" w:rsidP="005D2655">
      <w:pPr>
        <w:spacing w:line="312" w:lineRule="auto"/>
        <w:jc w:val="center"/>
      </w:pPr>
      <w:r w:rsidRPr="00ED7AD9">
        <w:t>z dnia</w:t>
      </w:r>
      <w:r w:rsidR="0029611A">
        <w:t xml:space="preserve"> 10</w:t>
      </w:r>
      <w:r w:rsidRPr="00ED7AD9">
        <w:t xml:space="preserve"> września 2025 roku</w:t>
      </w:r>
    </w:p>
    <w:p w14:paraId="7F838FD5" w14:textId="77777777" w:rsidR="005D2655" w:rsidRPr="00ED7AD9" w:rsidRDefault="005D2655" w:rsidP="005D2655">
      <w:pPr>
        <w:spacing w:line="312" w:lineRule="auto"/>
        <w:jc w:val="center"/>
      </w:pPr>
      <w:r>
        <w:t>w</w:t>
      </w:r>
      <w:r w:rsidRPr="00ED7AD9">
        <w:t xml:space="preserve"> sprawie rozpatrzenia skargi na Burmistrza Stawiszyna.</w:t>
      </w:r>
    </w:p>
    <w:p w14:paraId="7531E3AC" w14:textId="77777777" w:rsidR="005D2655" w:rsidRPr="00ED7AD9" w:rsidRDefault="005D2655" w:rsidP="005D2655"/>
    <w:p w14:paraId="15F84316" w14:textId="14BA57C3" w:rsidR="005D2655" w:rsidRDefault="005D2655" w:rsidP="005D2655">
      <w:r w:rsidRPr="008C42CD">
        <w:t xml:space="preserve">Na podstawie art. 18b ust. 1 ustawy z dnia 8 marca 1990 r. o samorządzie gminnym (t.j. Dz. U. </w:t>
      </w:r>
      <w:r w:rsidR="0029611A">
        <w:t xml:space="preserve">               </w:t>
      </w:r>
      <w:r w:rsidRPr="008C42CD">
        <w:t xml:space="preserve">z 2025 r. poz. 1153), w związku z art. 229 pkt 3 ustawy z </w:t>
      </w:r>
      <w:r>
        <w:t xml:space="preserve">dnia </w:t>
      </w:r>
      <w:r w:rsidRPr="008C42CD">
        <w:t>14 czerwca 1960 r. Kodeks postępowania administracyjnego (Dz. U. z 2024 r. poz. 572 ze zm.), uchwala się, co następuje:</w:t>
      </w:r>
      <w:r w:rsidRPr="00ED7AD9">
        <w:tab/>
      </w:r>
    </w:p>
    <w:p w14:paraId="7032515F" w14:textId="77777777" w:rsidR="005D2655" w:rsidRPr="00ED7AD9" w:rsidRDefault="005D2655" w:rsidP="005D2655"/>
    <w:p w14:paraId="5568940F" w14:textId="77777777" w:rsidR="005D2655" w:rsidRPr="00ED7AD9" w:rsidRDefault="005D2655" w:rsidP="005D2655">
      <w:pPr>
        <w:jc w:val="center"/>
        <w:rPr>
          <w:b/>
          <w:bCs/>
        </w:rPr>
      </w:pPr>
      <w:r w:rsidRPr="00ED7AD9">
        <w:rPr>
          <w:b/>
          <w:bCs/>
        </w:rPr>
        <w:t xml:space="preserve">§ 1. </w:t>
      </w:r>
    </w:p>
    <w:p w14:paraId="2804E8AE" w14:textId="77777777" w:rsidR="005D2655" w:rsidRPr="00ED7AD9" w:rsidRDefault="005D2655" w:rsidP="005D2655"/>
    <w:p w14:paraId="5F5F1DE5" w14:textId="77777777" w:rsidR="005D2655" w:rsidRDefault="005D2655" w:rsidP="005D2655">
      <w:pPr>
        <w:jc w:val="both"/>
      </w:pPr>
      <w:r w:rsidRPr="008C42CD">
        <w:t xml:space="preserve">Po zapoznaniu się z opinią Komisji Skarg, Wniosków i Petycji, </w:t>
      </w:r>
      <w:r>
        <w:t xml:space="preserve">Rada Miejska </w:t>
      </w:r>
      <w:r w:rsidRPr="008C42CD">
        <w:t xml:space="preserve">uznaje </w:t>
      </w:r>
      <w:r w:rsidRPr="00ED7AD9">
        <w:t>skarg</w:t>
      </w:r>
      <w:r>
        <w:t>ę</w:t>
      </w:r>
      <w:r w:rsidRPr="00ED7AD9">
        <w:t xml:space="preserve"> z dnia 21 stycznia 2025 roku</w:t>
      </w:r>
      <w:r>
        <w:t xml:space="preserve"> uzupełnioną</w:t>
      </w:r>
      <w:r w:rsidRPr="00ED7AD9">
        <w:t xml:space="preserve"> </w:t>
      </w:r>
      <w:r>
        <w:t xml:space="preserve">pismem z dnia </w:t>
      </w:r>
      <w:r w:rsidRPr="00ED7AD9">
        <w:t>28 stycznia 2025 roku</w:t>
      </w:r>
      <w:r>
        <w:t xml:space="preserve"> </w:t>
      </w:r>
      <w:r w:rsidRPr="00ED7AD9">
        <w:t>na działanie Burmistrza Stawiszyna</w:t>
      </w:r>
      <w:r>
        <w:t>,</w:t>
      </w:r>
      <w:r w:rsidRPr="00ED7AD9">
        <w:t xml:space="preserve"> </w:t>
      </w:r>
      <w:r w:rsidRPr="004D20CD">
        <w:t>za bezzasadną</w:t>
      </w:r>
      <w:r>
        <w:t xml:space="preserve">. </w:t>
      </w:r>
    </w:p>
    <w:p w14:paraId="5F0ACD5B" w14:textId="77777777" w:rsidR="005D2655" w:rsidRDefault="005D2655" w:rsidP="005D2655"/>
    <w:p w14:paraId="3C74FCDE" w14:textId="77777777" w:rsidR="005D2655" w:rsidRPr="0070413A" w:rsidRDefault="005D2655" w:rsidP="005D2655">
      <w:pPr>
        <w:jc w:val="center"/>
        <w:rPr>
          <w:b/>
          <w:bCs/>
        </w:rPr>
      </w:pPr>
      <w:r w:rsidRPr="0070413A">
        <w:rPr>
          <w:b/>
          <w:bCs/>
        </w:rPr>
        <w:t xml:space="preserve">§ 2. </w:t>
      </w:r>
    </w:p>
    <w:p w14:paraId="6F159E32" w14:textId="77777777" w:rsidR="005D2655" w:rsidRDefault="005D2655" w:rsidP="005D2655"/>
    <w:p w14:paraId="2B62E44B" w14:textId="77777777" w:rsidR="005D2655" w:rsidRDefault="005D2655" w:rsidP="005D2655">
      <w:pPr>
        <w:jc w:val="both"/>
      </w:pPr>
      <w:r w:rsidRPr="004D20CD">
        <w:t>Uzasadnienie dla sposobu rozpatrzenia skargi stanowi załącznik do niniejszej uchwały.</w:t>
      </w:r>
    </w:p>
    <w:p w14:paraId="0BDCDC1A" w14:textId="77777777" w:rsidR="005D2655" w:rsidRDefault="005D2655" w:rsidP="005D2655">
      <w:pPr>
        <w:jc w:val="both"/>
      </w:pPr>
    </w:p>
    <w:p w14:paraId="32F49688" w14:textId="77777777" w:rsidR="005D2655" w:rsidRPr="000E3A5C" w:rsidRDefault="005D2655" w:rsidP="005D2655">
      <w:pPr>
        <w:jc w:val="center"/>
        <w:rPr>
          <w:b/>
          <w:bCs/>
        </w:rPr>
      </w:pPr>
      <w:r w:rsidRPr="000E3A5C">
        <w:rPr>
          <w:b/>
          <w:bCs/>
        </w:rPr>
        <w:t xml:space="preserve">§ 3. </w:t>
      </w:r>
    </w:p>
    <w:p w14:paraId="6C3FA503" w14:textId="77777777" w:rsidR="005D2655" w:rsidRDefault="005D2655" w:rsidP="005D2655"/>
    <w:p w14:paraId="60AA5A7A" w14:textId="77777777" w:rsidR="005D2655" w:rsidRDefault="005D2655" w:rsidP="005D2655">
      <w:r w:rsidRPr="004D20CD">
        <w:t xml:space="preserve">O sposobie załatwienia skargi Przewodniczący </w:t>
      </w:r>
      <w:r>
        <w:t>Rady</w:t>
      </w:r>
      <w:r w:rsidRPr="004D20CD">
        <w:t xml:space="preserve"> zawiadomi Skarżącego.</w:t>
      </w:r>
    </w:p>
    <w:p w14:paraId="025DD3DD" w14:textId="77777777" w:rsidR="005D2655" w:rsidRDefault="005D2655" w:rsidP="005D2655"/>
    <w:p w14:paraId="64957B15" w14:textId="77777777" w:rsidR="005D2655" w:rsidRPr="004D20CD" w:rsidRDefault="005D2655" w:rsidP="005D2655">
      <w:pPr>
        <w:jc w:val="center"/>
        <w:rPr>
          <w:b/>
          <w:bCs/>
        </w:rPr>
      </w:pPr>
      <w:r w:rsidRPr="004D20CD">
        <w:rPr>
          <w:b/>
          <w:bCs/>
        </w:rPr>
        <w:t>§ 4.</w:t>
      </w:r>
    </w:p>
    <w:p w14:paraId="559FBE81" w14:textId="77777777" w:rsidR="005D2655" w:rsidRDefault="005D2655" w:rsidP="005D2655"/>
    <w:p w14:paraId="6C5C3E97" w14:textId="77777777" w:rsidR="005D2655" w:rsidRDefault="005D2655" w:rsidP="005D2655">
      <w:r>
        <w:t xml:space="preserve">Uchwała wchodzi w życie z dniem podjęcia. </w:t>
      </w:r>
    </w:p>
    <w:p w14:paraId="29DA1DFE" w14:textId="77777777" w:rsidR="005D2655" w:rsidRDefault="005D2655" w:rsidP="005D26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E1FDA0" w14:textId="77777777" w:rsidR="005D2655" w:rsidRDefault="005D2655" w:rsidP="005D2655">
      <w:pPr>
        <w:spacing w:line="360" w:lineRule="auto"/>
        <w:jc w:val="center"/>
        <w:rPr>
          <w:b/>
          <w:bCs/>
        </w:rPr>
      </w:pPr>
      <w:r w:rsidRPr="004D20CD">
        <w:rPr>
          <w:b/>
          <w:bCs/>
        </w:rPr>
        <w:lastRenderedPageBreak/>
        <w:t>Uzasadnienie</w:t>
      </w:r>
    </w:p>
    <w:p w14:paraId="48CBA224" w14:textId="149EBFA2" w:rsidR="005D2655" w:rsidRPr="001A2276" w:rsidRDefault="005D2655" w:rsidP="005D2655">
      <w:pPr>
        <w:spacing w:line="360" w:lineRule="auto"/>
        <w:jc w:val="center"/>
        <w:rPr>
          <w:b/>
          <w:bCs/>
        </w:rPr>
      </w:pPr>
      <w:r w:rsidRPr="001A2276">
        <w:rPr>
          <w:b/>
          <w:bCs/>
        </w:rPr>
        <w:t xml:space="preserve">do uchwały nr </w:t>
      </w:r>
      <w:r w:rsidR="0029611A">
        <w:rPr>
          <w:b/>
          <w:bCs/>
        </w:rPr>
        <w:t>XIX</w:t>
      </w:r>
      <w:r w:rsidRPr="001A2276">
        <w:rPr>
          <w:b/>
          <w:bCs/>
        </w:rPr>
        <w:t>/</w:t>
      </w:r>
      <w:r w:rsidR="0029611A">
        <w:rPr>
          <w:b/>
          <w:bCs/>
        </w:rPr>
        <w:t>104</w:t>
      </w:r>
      <w:r w:rsidRPr="001A2276">
        <w:rPr>
          <w:b/>
          <w:bCs/>
        </w:rPr>
        <w:t>/2025</w:t>
      </w:r>
    </w:p>
    <w:p w14:paraId="47180FB3" w14:textId="77777777" w:rsidR="005D2655" w:rsidRPr="001A2276" w:rsidRDefault="005D2655" w:rsidP="005D2655">
      <w:pPr>
        <w:spacing w:line="360" w:lineRule="auto"/>
        <w:jc w:val="center"/>
        <w:rPr>
          <w:b/>
          <w:bCs/>
        </w:rPr>
      </w:pPr>
      <w:r w:rsidRPr="001A2276">
        <w:rPr>
          <w:b/>
          <w:bCs/>
        </w:rPr>
        <w:t>Rady Miejskiej w Stawiszynie</w:t>
      </w:r>
    </w:p>
    <w:p w14:paraId="011F30F4" w14:textId="7E23F4B5" w:rsidR="005D2655" w:rsidRPr="004D20CD" w:rsidRDefault="005D2655" w:rsidP="005D2655">
      <w:pPr>
        <w:spacing w:line="360" w:lineRule="auto"/>
        <w:jc w:val="center"/>
        <w:rPr>
          <w:b/>
          <w:bCs/>
        </w:rPr>
      </w:pPr>
      <w:r w:rsidRPr="001A2276">
        <w:rPr>
          <w:b/>
          <w:bCs/>
        </w:rPr>
        <w:t xml:space="preserve">z </w:t>
      </w:r>
      <w:r w:rsidR="0029611A">
        <w:rPr>
          <w:b/>
          <w:bCs/>
        </w:rPr>
        <w:t>10</w:t>
      </w:r>
      <w:r w:rsidRPr="001A2276">
        <w:rPr>
          <w:b/>
          <w:bCs/>
        </w:rPr>
        <w:t xml:space="preserve"> września 2025 r.</w:t>
      </w:r>
    </w:p>
    <w:p w14:paraId="24A5BBD6" w14:textId="607C1CCF" w:rsidR="005D2655" w:rsidRPr="000E3A5C" w:rsidRDefault="005D2655" w:rsidP="005D2655">
      <w:pPr>
        <w:spacing w:line="360" w:lineRule="auto"/>
        <w:ind w:firstLine="708"/>
        <w:jc w:val="both"/>
      </w:pPr>
      <w:r>
        <w:t>Zgodnie z treścią przepisu art. 227 u</w:t>
      </w:r>
      <w:r w:rsidRPr="00A14FF1">
        <w:t>staw</w:t>
      </w:r>
      <w:r>
        <w:t>y</w:t>
      </w:r>
      <w:r w:rsidRPr="00A14FF1">
        <w:t xml:space="preserve"> z dnia 14 czerwca 1960 r. Kodeks postępowania administracyjnego (t.j. Dz. U. z 2024 r. poz. 572 z późn. zm.</w:t>
      </w:r>
      <w:r>
        <w:t>, dalej k.p.a.</w:t>
      </w:r>
      <w:r w:rsidRPr="00A14FF1">
        <w:t>)</w:t>
      </w:r>
      <w:r>
        <w:t>, p</w:t>
      </w:r>
      <w:r w:rsidRPr="00A14FF1">
        <w:t>rzedmiotem skargi może być w szczególności zaniedbanie lub nienależyte wykonywanie zadań przez właściwe organy albo przez ich pracowników, naruszenie praworządności lub interesów skarżących, a także przewlekłe lub biurokratyczne załatwianie spraw.</w:t>
      </w:r>
      <w:r>
        <w:t xml:space="preserve"> Dalej, zgodnie z treścią przepisu art. 229 pkt 3 k.p.a., </w:t>
      </w:r>
      <w:r w:rsidRPr="009E1FF9">
        <w:t>właściwym do rozpatrzenia skargi dotyczącej zadań lub działalności</w:t>
      </w:r>
      <w:r>
        <w:t xml:space="preserve"> </w:t>
      </w:r>
      <w:r w:rsidRPr="009E1FF9">
        <w:t xml:space="preserve">wójta (burmistrza lub prezydenta miasta) </w:t>
      </w:r>
      <w:r>
        <w:t>jest rada gminy. Na podstawie przepisu art. 18b u</w:t>
      </w:r>
      <w:r w:rsidRPr="009E1FF9">
        <w:t>staw</w:t>
      </w:r>
      <w:r>
        <w:t>y</w:t>
      </w:r>
      <w:r w:rsidRPr="009E1FF9">
        <w:t xml:space="preserve"> z dnia 8 marca 1990 r. o samorządzie gminnym (t.j. Dz. U. z 2025 r. poz. 1153) </w:t>
      </w:r>
      <w:r>
        <w:t>r</w:t>
      </w:r>
      <w:r w:rsidRPr="009E1FF9">
        <w:t xml:space="preserve">ada gminy </w:t>
      </w:r>
      <w:r>
        <w:t xml:space="preserve">celem </w:t>
      </w:r>
      <w:r w:rsidRPr="009E1FF9">
        <w:t>rozpatr</w:t>
      </w:r>
      <w:r>
        <w:t>ywania</w:t>
      </w:r>
      <w:r w:rsidRPr="009E1FF9">
        <w:t xml:space="preserve"> skarg na działania wójta i gminnych jednostek organizacyjnych powołuje komisję skarg, wniosków i petycji.</w:t>
      </w:r>
      <w:r>
        <w:t xml:space="preserve"> </w:t>
      </w:r>
      <w:r w:rsidR="0029611A">
        <w:t xml:space="preserve">                                        </w:t>
      </w:r>
      <w:r>
        <w:t>W przedmiotowej sprawie</w:t>
      </w:r>
      <w:r w:rsidRPr="009E1FF9">
        <w:t xml:space="preserve"> Komisja Skarg, Wniosków i Petycji przy Radzie Miejskiej w Stawiszynie </w:t>
      </w:r>
      <w:r>
        <w:t>podjęła uchwałę z dnia ….. września 2025 roku numer …/2025, w treści której zaopiniowała skargę na Burmistrza jako bezpodstawną. Komisja przedstawiła w tym zakresie uzasadnienie, w którym odwołano się do długich i wnikliwych wyjaśnień przy udziale innych instytucji i organów. Komisja p</w:t>
      </w:r>
      <w:r w:rsidRPr="000E3A5C">
        <w:t>o przeanalizowaniu treści skargi</w:t>
      </w:r>
      <w:r>
        <w:t xml:space="preserve"> </w:t>
      </w:r>
      <w:r w:rsidRPr="000E3A5C">
        <w:t>wyodrębniła jej części, w których uznała się za niewłaściwą do ich rozpatrzenia. Następnie</w:t>
      </w:r>
      <w:r>
        <w:t xml:space="preserve"> Komisja</w:t>
      </w:r>
      <w:r w:rsidRPr="000E3A5C">
        <w:t xml:space="preserve"> przedłożyła Radzie Miejskiej projekty uchwał, które po </w:t>
      </w:r>
      <w:r>
        <w:t>przyjęciu</w:t>
      </w:r>
      <w:r w:rsidRPr="000E3A5C">
        <w:t xml:space="preserve"> zostały przekazane do organów właściwych</w:t>
      </w:r>
      <w:r>
        <w:t xml:space="preserve"> wraz ze skargą</w:t>
      </w:r>
      <w:r w:rsidRPr="000E3A5C">
        <w:t>, tj.: Centralnego Biura Antykorupcyjnego, Wojewody Wielkopolskiego oraz Prokuratury Rejonowej w Kaliszu.</w:t>
      </w:r>
    </w:p>
    <w:p w14:paraId="0523C741" w14:textId="2A2E776C" w:rsidR="005D2655" w:rsidRPr="000E3A5C" w:rsidRDefault="005D2655" w:rsidP="005D2655">
      <w:pPr>
        <w:spacing w:line="360" w:lineRule="auto"/>
        <w:ind w:firstLine="708"/>
        <w:jc w:val="both"/>
      </w:pPr>
      <w:r w:rsidRPr="000E3A5C">
        <w:t>Komisja wystąpiła do Sądu Rejonowego w Kaliszu o odniesienie się do</w:t>
      </w:r>
      <w:r>
        <w:t xml:space="preserve"> karnych</w:t>
      </w:r>
      <w:r w:rsidRPr="000E3A5C">
        <w:t xml:space="preserve"> postępowań sądowych</w:t>
      </w:r>
      <w:r>
        <w:t xml:space="preserve"> dotyczących Burmistrza i oznaczonych </w:t>
      </w:r>
      <w:r w:rsidRPr="000E3A5C">
        <w:t>sygnatur</w:t>
      </w:r>
      <w:r>
        <w:t xml:space="preserve">ami jak w skardze. </w:t>
      </w:r>
      <w:r w:rsidRPr="000E3A5C">
        <w:t xml:space="preserve">W odpowiedzi </w:t>
      </w:r>
      <w:r>
        <w:t>Komisja otrzymała</w:t>
      </w:r>
      <w:r w:rsidRPr="000E3A5C">
        <w:t xml:space="preserve"> kopie </w:t>
      </w:r>
      <w:r>
        <w:t>W</w:t>
      </w:r>
      <w:r w:rsidRPr="000E3A5C">
        <w:t xml:space="preserve">yroków wydanych w sprawach </w:t>
      </w:r>
      <w:r>
        <w:t xml:space="preserve">oznaczonych sygnaturami akt </w:t>
      </w:r>
      <w:r w:rsidRPr="000E3A5C">
        <w:t>II K 1025/24 oraz II K 1026/24 po anonimizacji</w:t>
      </w:r>
      <w:r>
        <w:t xml:space="preserve">. Z treści wskazanych Wyroków nie wynika żeby Burmistrz Stawiszyna został </w:t>
      </w:r>
      <w:r w:rsidRPr="00FF6622">
        <w:t>skazan</w:t>
      </w:r>
      <w:r>
        <w:t>y</w:t>
      </w:r>
      <w:r w:rsidRPr="00FF6622">
        <w:t xml:space="preserve"> prawomocnym wyrokiem sądu za umyślne przestępstwo ścigane z oskarżenia publicznego lub umyślne przestępstwo skarbowe</w:t>
      </w:r>
      <w:r>
        <w:t xml:space="preserve">. Przedmiotowe świadczy </w:t>
      </w:r>
      <w:r w:rsidR="0029611A">
        <w:t xml:space="preserve">                   </w:t>
      </w:r>
      <w:r>
        <w:t xml:space="preserve">o tym, że Burmistrz Stawiszyna nie utracił biernego prawa wyborczego. </w:t>
      </w:r>
      <w:r w:rsidRPr="000E3A5C">
        <w:t>Komisja</w:t>
      </w:r>
      <w:r>
        <w:t xml:space="preserve"> celem uzyskania potwierdzenia legalności urzędowania Burmistrza</w:t>
      </w:r>
      <w:r w:rsidRPr="000E3A5C">
        <w:t xml:space="preserve"> zwróciła się o opinię do Komisarza Wyborczego w Kaliszu w sprawie powyższych </w:t>
      </w:r>
      <w:r>
        <w:t>W</w:t>
      </w:r>
      <w:r w:rsidRPr="000E3A5C">
        <w:t xml:space="preserve">yroków. W wyniku analizy </w:t>
      </w:r>
      <w:r>
        <w:t>W</w:t>
      </w:r>
      <w:r w:rsidRPr="000E3A5C">
        <w:t xml:space="preserve">yroków, Komisarz Wyborczy stwierdził brak podstaw prawnych do wydania obwieszczenia informującego o wygaśnięciu mandatu </w:t>
      </w:r>
      <w:r>
        <w:t>B</w:t>
      </w:r>
      <w:r w:rsidRPr="000E3A5C">
        <w:t xml:space="preserve">urmistrza z powodu utraty prawa wybieralności. </w:t>
      </w:r>
    </w:p>
    <w:p w14:paraId="489FC4AB" w14:textId="0CE2002D" w:rsidR="005D2655" w:rsidRDefault="005D2655" w:rsidP="005D2655">
      <w:pPr>
        <w:spacing w:line="360" w:lineRule="auto"/>
        <w:ind w:firstLine="708"/>
        <w:jc w:val="both"/>
      </w:pPr>
      <w:r w:rsidRPr="000E3A5C">
        <w:t xml:space="preserve">Komisja zwróciła się </w:t>
      </w:r>
      <w:r>
        <w:t xml:space="preserve">również </w:t>
      </w:r>
      <w:r w:rsidRPr="000E3A5C">
        <w:t xml:space="preserve">o wyjaśnienia do Burmistrza w związku </w:t>
      </w:r>
      <w:r w:rsidRPr="000E3A5C">
        <w:br/>
        <w:t>z</w:t>
      </w:r>
      <w:r>
        <w:t>e zgłaszanymi</w:t>
      </w:r>
      <w:r w:rsidRPr="000E3A5C">
        <w:t xml:space="preserve"> nieprawidłowościami dotyczącymi pozbywania się nieczystości ciekłych przez Pana Andrzeja, którego wskazał skarżący. </w:t>
      </w:r>
      <w:r>
        <w:t>Komisja otrzymała</w:t>
      </w:r>
      <w:r w:rsidRPr="000E3A5C">
        <w:t xml:space="preserve"> odpowiedz, w której przedstawiono </w:t>
      </w:r>
      <w:r w:rsidRPr="000E3A5C">
        <w:lastRenderedPageBreak/>
        <w:t xml:space="preserve">wyjaśnienia dotyczące przeprowadzenia kontroli, która nie wykazała wystąpienia nieprawidłowości </w:t>
      </w:r>
      <w:r>
        <w:t>w zakresie przestrzegania obowiązków wynikających z</w:t>
      </w:r>
      <w:r w:rsidRPr="000E3A5C">
        <w:t xml:space="preserve"> </w:t>
      </w:r>
      <w:r>
        <w:t>u</w:t>
      </w:r>
      <w:r w:rsidRPr="00DB7615">
        <w:t>staw</w:t>
      </w:r>
      <w:r>
        <w:t>y</w:t>
      </w:r>
      <w:r w:rsidRPr="00DB7615">
        <w:t xml:space="preserve"> z dnia 13 września 1996 r. </w:t>
      </w:r>
      <w:r w:rsidR="0029611A">
        <w:t xml:space="preserve">                               </w:t>
      </w:r>
      <w:r w:rsidRPr="00DB7615">
        <w:t>o utrzymaniu czystości i porządku w gminach (t.j. Dz. U. z 2025 r. poz. 733).</w:t>
      </w:r>
      <w:r>
        <w:t xml:space="preserve"> </w:t>
      </w:r>
    </w:p>
    <w:p w14:paraId="3448B138" w14:textId="77777777" w:rsidR="005D2655" w:rsidRPr="000E3A5C" w:rsidRDefault="005D2655" w:rsidP="005D2655">
      <w:pPr>
        <w:spacing w:line="360" w:lineRule="auto"/>
        <w:ind w:firstLine="708"/>
        <w:jc w:val="both"/>
      </w:pPr>
      <w:r>
        <w:t xml:space="preserve">Rada przyjmuje, że analiza zarzutów i okoliczności im towarzyszących przy udziale innych organów daje podstawę do uznania, że zarzuty stawiane Burmistrzowi Stawiszyna w skardze są bezzasadne. </w:t>
      </w:r>
    </w:p>
    <w:p w14:paraId="63C39273" w14:textId="77777777" w:rsidR="005D2655" w:rsidRPr="0066686A" w:rsidRDefault="005D2655" w:rsidP="005D2655">
      <w:pPr>
        <w:spacing w:line="312" w:lineRule="auto"/>
        <w:ind w:firstLine="708"/>
        <w:jc w:val="both"/>
      </w:pPr>
      <w:r w:rsidRPr="0066686A">
        <w:t>Mając na uwadze powyższe okoliczności faktycznie oraz prawne – podjęcie uchwały</w:t>
      </w:r>
      <w:r>
        <w:t xml:space="preserve"> </w:t>
      </w:r>
      <w:r w:rsidRPr="0066686A">
        <w:t>znajduje uzasadnienie.</w:t>
      </w:r>
    </w:p>
    <w:p w14:paraId="3910A0F6" w14:textId="77777777" w:rsidR="002879AE" w:rsidRDefault="002879AE"/>
    <w:sectPr w:rsidR="002879AE" w:rsidSect="005D2655">
      <w:footerReference w:type="even" r:id="rId6"/>
      <w:footerReference w:type="default" r:id="rId7"/>
      <w:pgSz w:w="11906" w:h="16838" w:code="9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6D59" w14:textId="77777777" w:rsidR="00C444F7" w:rsidRDefault="00C444F7">
      <w:r>
        <w:separator/>
      </w:r>
    </w:p>
  </w:endnote>
  <w:endnote w:type="continuationSeparator" w:id="0">
    <w:p w14:paraId="09FB37C5" w14:textId="77777777" w:rsidR="00C444F7" w:rsidRDefault="00C4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2F33" w14:textId="77777777" w:rsidR="005D2655" w:rsidRDefault="005D2655" w:rsidP="00253EAF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3DDA72C" w14:textId="77777777" w:rsidR="005D2655" w:rsidRDefault="005D2655" w:rsidP="00E83C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73DD" w14:textId="77777777" w:rsidR="005D2655" w:rsidRPr="00253EAF" w:rsidRDefault="005D2655" w:rsidP="00E83CB3">
    <w:pPr>
      <w:pStyle w:val="Stopka"/>
      <w:ind w:right="360"/>
      <w:jc w:val="right"/>
      <w:rPr>
        <w:rFonts w:ascii="Arial" w:hAnsi="Arial" w:cs="Arial"/>
        <w:sz w:val="20"/>
        <w:szCs w:val="20"/>
      </w:rPr>
    </w:pPr>
    <w:r w:rsidRPr="00253EAF">
      <w:rPr>
        <w:rStyle w:val="Numerstrony"/>
        <w:rFonts w:ascii="Arial" w:eastAsiaTheme="majorEastAsia" w:hAnsi="Arial" w:cs="Arial"/>
        <w:sz w:val="20"/>
        <w:szCs w:val="20"/>
      </w:rPr>
      <w:t xml:space="preserve">Strona </w:t>
    </w:r>
    <w:r w:rsidRPr="00253EAF">
      <w:rPr>
        <w:rStyle w:val="Numerstrony"/>
        <w:rFonts w:ascii="Arial" w:eastAsiaTheme="majorEastAsia" w:hAnsi="Arial" w:cs="Arial"/>
        <w:sz w:val="20"/>
        <w:szCs w:val="20"/>
      </w:rPr>
      <w:fldChar w:fldCharType="begin"/>
    </w:r>
    <w:r w:rsidRPr="00253EAF">
      <w:rPr>
        <w:rStyle w:val="Numerstrony"/>
        <w:rFonts w:ascii="Arial" w:eastAsiaTheme="majorEastAsia" w:hAnsi="Arial" w:cs="Arial"/>
        <w:sz w:val="20"/>
        <w:szCs w:val="20"/>
      </w:rPr>
      <w:instrText xml:space="preserve"> PAGE </w:instrText>
    </w:r>
    <w:r w:rsidRPr="00253EAF">
      <w:rPr>
        <w:rStyle w:val="Numerstrony"/>
        <w:rFonts w:ascii="Arial" w:eastAsiaTheme="majorEastAsia" w:hAnsi="Arial" w:cs="Arial"/>
        <w:sz w:val="20"/>
        <w:szCs w:val="20"/>
      </w:rPr>
      <w:fldChar w:fldCharType="separate"/>
    </w:r>
    <w:r>
      <w:rPr>
        <w:rStyle w:val="Numerstrony"/>
        <w:rFonts w:ascii="Arial" w:eastAsiaTheme="majorEastAsia" w:hAnsi="Arial" w:cs="Arial"/>
        <w:noProof/>
        <w:sz w:val="20"/>
        <w:szCs w:val="20"/>
      </w:rPr>
      <w:t>1</w:t>
    </w:r>
    <w:r w:rsidRPr="00253EAF">
      <w:rPr>
        <w:rStyle w:val="Numerstrony"/>
        <w:rFonts w:ascii="Arial" w:eastAsiaTheme="majorEastAsia" w:hAnsi="Arial" w:cs="Arial"/>
        <w:sz w:val="20"/>
        <w:szCs w:val="20"/>
      </w:rPr>
      <w:fldChar w:fldCharType="end"/>
    </w:r>
    <w:r w:rsidRPr="00253EAF">
      <w:rPr>
        <w:rStyle w:val="Numerstrony"/>
        <w:rFonts w:ascii="Arial" w:eastAsiaTheme="majorEastAsia" w:hAnsi="Arial" w:cs="Arial"/>
        <w:sz w:val="20"/>
        <w:szCs w:val="20"/>
      </w:rPr>
      <w:t xml:space="preserve"> z </w:t>
    </w:r>
    <w:r w:rsidRPr="00253EAF">
      <w:rPr>
        <w:rStyle w:val="Numerstrony"/>
        <w:rFonts w:ascii="Arial" w:eastAsiaTheme="majorEastAsia" w:hAnsi="Arial" w:cs="Arial"/>
        <w:sz w:val="20"/>
        <w:szCs w:val="20"/>
      </w:rPr>
      <w:fldChar w:fldCharType="begin"/>
    </w:r>
    <w:r w:rsidRPr="00253EAF">
      <w:rPr>
        <w:rStyle w:val="Numerstrony"/>
        <w:rFonts w:ascii="Arial" w:eastAsiaTheme="majorEastAsia" w:hAnsi="Arial" w:cs="Arial"/>
        <w:sz w:val="20"/>
        <w:szCs w:val="20"/>
      </w:rPr>
      <w:instrText xml:space="preserve"> NUMPAGES </w:instrText>
    </w:r>
    <w:r w:rsidRPr="00253EAF">
      <w:rPr>
        <w:rStyle w:val="Numerstrony"/>
        <w:rFonts w:ascii="Arial" w:eastAsiaTheme="majorEastAsia" w:hAnsi="Arial" w:cs="Arial"/>
        <w:sz w:val="20"/>
        <w:szCs w:val="20"/>
      </w:rPr>
      <w:fldChar w:fldCharType="separate"/>
    </w:r>
    <w:r>
      <w:rPr>
        <w:rStyle w:val="Numerstrony"/>
        <w:rFonts w:ascii="Arial" w:eastAsiaTheme="majorEastAsia" w:hAnsi="Arial" w:cs="Arial"/>
        <w:noProof/>
        <w:sz w:val="20"/>
        <w:szCs w:val="20"/>
      </w:rPr>
      <w:t>2</w:t>
    </w:r>
    <w:r w:rsidRPr="00253EAF">
      <w:rPr>
        <w:rStyle w:val="Numerstrony"/>
        <w:rFonts w:ascii="Arial" w:eastAsiaTheme="majorEastAsia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BC2E" w14:textId="77777777" w:rsidR="00C444F7" w:rsidRDefault="00C444F7">
      <w:r>
        <w:separator/>
      </w:r>
    </w:p>
  </w:footnote>
  <w:footnote w:type="continuationSeparator" w:id="0">
    <w:p w14:paraId="3B3B1A87" w14:textId="77777777" w:rsidR="00C444F7" w:rsidRDefault="00C4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55"/>
    <w:rsid w:val="002879AE"/>
    <w:rsid w:val="00294BCF"/>
    <w:rsid w:val="0029611A"/>
    <w:rsid w:val="00552A57"/>
    <w:rsid w:val="005D2655"/>
    <w:rsid w:val="00607974"/>
    <w:rsid w:val="00847256"/>
    <w:rsid w:val="008A2EE7"/>
    <w:rsid w:val="00A53E0E"/>
    <w:rsid w:val="00C4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AFF4"/>
  <w15:chartTrackingRefBased/>
  <w15:docId w15:val="{008CAE03-6B70-4258-A46F-E94F399C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65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6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6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6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6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6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6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6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6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6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6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6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6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6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6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6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6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6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26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6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26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6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65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5D2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265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5D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3</cp:revision>
  <dcterms:created xsi:type="dcterms:W3CDTF">2025-09-09T10:20:00Z</dcterms:created>
  <dcterms:modified xsi:type="dcterms:W3CDTF">2025-09-09T10:54:00Z</dcterms:modified>
</cp:coreProperties>
</file>