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99872" w14:textId="196F4C0F" w:rsidR="00241F79" w:rsidRPr="00ED7AD9" w:rsidRDefault="00241F79" w:rsidP="00241F79">
      <w:pPr>
        <w:spacing w:line="312" w:lineRule="auto"/>
        <w:jc w:val="center"/>
        <w:rPr>
          <w:b/>
          <w:bCs/>
        </w:rPr>
      </w:pPr>
      <w:r w:rsidRPr="00ED7AD9">
        <w:rPr>
          <w:b/>
          <w:bCs/>
        </w:rPr>
        <w:t xml:space="preserve">Uchwała nr </w:t>
      </w:r>
      <w:r w:rsidR="0014331A">
        <w:rPr>
          <w:b/>
          <w:bCs/>
        </w:rPr>
        <w:t>XIX/105</w:t>
      </w:r>
      <w:r>
        <w:rPr>
          <w:b/>
          <w:bCs/>
        </w:rPr>
        <w:t>/</w:t>
      </w:r>
      <w:r w:rsidRPr="00ED7AD9">
        <w:rPr>
          <w:b/>
          <w:bCs/>
        </w:rPr>
        <w:t>2025</w:t>
      </w:r>
    </w:p>
    <w:p w14:paraId="66DA24DA" w14:textId="77777777" w:rsidR="00241F79" w:rsidRDefault="00241F79" w:rsidP="00241F79">
      <w:pPr>
        <w:spacing w:line="312" w:lineRule="auto"/>
        <w:jc w:val="center"/>
      </w:pPr>
      <w:r w:rsidRPr="00ED7AD9">
        <w:t>Rad</w:t>
      </w:r>
      <w:r>
        <w:t>y</w:t>
      </w:r>
      <w:r w:rsidRPr="00ED7AD9">
        <w:t xml:space="preserve"> Miejskiej w Stawiszynie </w:t>
      </w:r>
    </w:p>
    <w:p w14:paraId="59C4BE6C" w14:textId="25E436F6" w:rsidR="00241F79" w:rsidRPr="00ED7AD9" w:rsidRDefault="00241F79" w:rsidP="00241F79">
      <w:pPr>
        <w:spacing w:line="312" w:lineRule="auto"/>
        <w:jc w:val="center"/>
      </w:pPr>
      <w:r w:rsidRPr="00ED7AD9">
        <w:t xml:space="preserve">z dnia </w:t>
      </w:r>
      <w:r w:rsidR="0014331A">
        <w:t>10</w:t>
      </w:r>
      <w:r w:rsidRPr="00ED7AD9">
        <w:t xml:space="preserve"> września 2025 roku</w:t>
      </w:r>
    </w:p>
    <w:p w14:paraId="6BCA1F68" w14:textId="77777777" w:rsidR="00241F79" w:rsidRPr="00ED7AD9" w:rsidRDefault="00241F79" w:rsidP="00241F79">
      <w:pPr>
        <w:spacing w:line="312" w:lineRule="auto"/>
        <w:jc w:val="center"/>
      </w:pPr>
      <w:r>
        <w:t>w</w:t>
      </w:r>
      <w:r w:rsidRPr="00ED7AD9">
        <w:t xml:space="preserve"> sprawie rozpatrzenia skargi na Burmistrza Stawiszyna.</w:t>
      </w:r>
    </w:p>
    <w:p w14:paraId="4423C162" w14:textId="77777777" w:rsidR="00241F79" w:rsidRPr="00ED7AD9" w:rsidRDefault="00241F79" w:rsidP="00241F79"/>
    <w:p w14:paraId="2ABE95F5" w14:textId="77777777" w:rsidR="00241F79" w:rsidRDefault="00241F79" w:rsidP="00241F79">
      <w:pPr>
        <w:jc w:val="both"/>
      </w:pPr>
      <w:r w:rsidRPr="008C42CD">
        <w:t xml:space="preserve">Na podstawie art. 18b ust. 1 ustawy z dnia 8 marca 1990 r. o samorządzie gminnym (t.j. Dz. U. z 2025 r. poz. 1153), w związku z art. 229 pkt 3 ustawy z </w:t>
      </w:r>
      <w:r>
        <w:t xml:space="preserve">dnia </w:t>
      </w:r>
      <w:r w:rsidRPr="008C42CD">
        <w:t>14 czerwca 1960 r. Kodeks postępowania administracyjnego (Dz. U. z 2024 r. poz. 572 ze zm.), uchwala się, co następuje:</w:t>
      </w:r>
      <w:r w:rsidRPr="00ED7AD9">
        <w:tab/>
      </w:r>
    </w:p>
    <w:p w14:paraId="6C8BAB2C" w14:textId="77777777" w:rsidR="00241F79" w:rsidRPr="00ED7AD9" w:rsidRDefault="00241F79" w:rsidP="00241F79"/>
    <w:p w14:paraId="4532A8A7" w14:textId="77777777" w:rsidR="00241F79" w:rsidRPr="00ED7AD9" w:rsidRDefault="00241F79" w:rsidP="00241F79">
      <w:pPr>
        <w:jc w:val="center"/>
        <w:rPr>
          <w:b/>
          <w:bCs/>
        </w:rPr>
      </w:pPr>
      <w:r w:rsidRPr="00ED7AD9">
        <w:rPr>
          <w:b/>
          <w:bCs/>
        </w:rPr>
        <w:t xml:space="preserve">§ 1. </w:t>
      </w:r>
    </w:p>
    <w:p w14:paraId="437CD746" w14:textId="77777777" w:rsidR="00241F79" w:rsidRPr="00ED7AD9" w:rsidRDefault="00241F79" w:rsidP="00241F79"/>
    <w:p w14:paraId="275B72A5" w14:textId="77777777" w:rsidR="00241F79" w:rsidRDefault="00241F79" w:rsidP="00241F79">
      <w:pPr>
        <w:jc w:val="both"/>
      </w:pPr>
      <w:r w:rsidRPr="008C42CD">
        <w:t xml:space="preserve">Po zapoznaniu się z opinią Komisji Skarg, Wniosków i Petycji, </w:t>
      </w:r>
      <w:r>
        <w:t xml:space="preserve">Rada Miejska </w:t>
      </w:r>
      <w:r w:rsidRPr="008C42CD">
        <w:t xml:space="preserve">uznaje </w:t>
      </w:r>
      <w:r w:rsidRPr="00ED7AD9">
        <w:t>skarg</w:t>
      </w:r>
      <w:r>
        <w:t>ę</w:t>
      </w:r>
      <w:r w:rsidRPr="00ED7AD9">
        <w:t xml:space="preserve"> z dnia </w:t>
      </w:r>
      <w:r w:rsidRPr="001357A7">
        <w:t xml:space="preserve">30 marca 2025 </w:t>
      </w:r>
      <w:r w:rsidRPr="00ED7AD9">
        <w:t>roku</w:t>
      </w:r>
      <w:r>
        <w:t xml:space="preserve"> </w:t>
      </w:r>
      <w:r w:rsidRPr="00ED7AD9">
        <w:t>na działanie Burmistrza Stawiszyna</w:t>
      </w:r>
      <w:r>
        <w:t>,</w:t>
      </w:r>
      <w:r w:rsidRPr="00ED7AD9">
        <w:t xml:space="preserve"> </w:t>
      </w:r>
      <w:r w:rsidRPr="004D20CD">
        <w:t>za bezzasadną</w:t>
      </w:r>
      <w:r>
        <w:t xml:space="preserve">. </w:t>
      </w:r>
    </w:p>
    <w:p w14:paraId="7A49F217" w14:textId="77777777" w:rsidR="00241F79" w:rsidRDefault="00241F79" w:rsidP="00241F79"/>
    <w:p w14:paraId="01D94782" w14:textId="77777777" w:rsidR="00241F79" w:rsidRPr="0070413A" w:rsidRDefault="00241F79" w:rsidP="00241F79">
      <w:pPr>
        <w:jc w:val="center"/>
        <w:rPr>
          <w:b/>
          <w:bCs/>
        </w:rPr>
      </w:pPr>
      <w:r w:rsidRPr="0070413A">
        <w:rPr>
          <w:b/>
          <w:bCs/>
        </w:rPr>
        <w:t xml:space="preserve">§ 2. </w:t>
      </w:r>
    </w:p>
    <w:p w14:paraId="0798F01E" w14:textId="77777777" w:rsidR="00241F79" w:rsidRDefault="00241F79" w:rsidP="00241F79"/>
    <w:p w14:paraId="1140509F" w14:textId="77777777" w:rsidR="00241F79" w:rsidRDefault="00241F79" w:rsidP="00241F79">
      <w:pPr>
        <w:jc w:val="both"/>
      </w:pPr>
      <w:r w:rsidRPr="004D20CD">
        <w:t>Uzasadnienie dla sposobu rozpatrzenia skargi stanowi załącznik do niniejszej uchwały.</w:t>
      </w:r>
    </w:p>
    <w:p w14:paraId="6B61A430" w14:textId="77777777" w:rsidR="00241F79" w:rsidRDefault="00241F79" w:rsidP="00241F79">
      <w:pPr>
        <w:jc w:val="both"/>
      </w:pPr>
    </w:p>
    <w:p w14:paraId="1BE4BE7D" w14:textId="77777777" w:rsidR="00241F79" w:rsidRPr="000E3A5C" w:rsidRDefault="00241F79" w:rsidP="00241F79">
      <w:pPr>
        <w:jc w:val="center"/>
        <w:rPr>
          <w:b/>
          <w:bCs/>
        </w:rPr>
      </w:pPr>
      <w:r w:rsidRPr="000E3A5C">
        <w:rPr>
          <w:b/>
          <w:bCs/>
        </w:rPr>
        <w:t xml:space="preserve">§ 3. </w:t>
      </w:r>
    </w:p>
    <w:p w14:paraId="316C72A4" w14:textId="77777777" w:rsidR="00241F79" w:rsidRDefault="00241F79" w:rsidP="00241F79"/>
    <w:p w14:paraId="2876BE05" w14:textId="77777777" w:rsidR="00241F79" w:rsidRDefault="00241F79" w:rsidP="00241F79">
      <w:r w:rsidRPr="004D20CD">
        <w:t xml:space="preserve">O sposobie załatwienia skargi Przewodniczący </w:t>
      </w:r>
      <w:r>
        <w:t>Rady</w:t>
      </w:r>
      <w:r w:rsidRPr="004D20CD">
        <w:t xml:space="preserve"> zawiadomi Skarżącego.</w:t>
      </w:r>
    </w:p>
    <w:p w14:paraId="6E648162" w14:textId="77777777" w:rsidR="00241F79" w:rsidRDefault="00241F79" w:rsidP="00241F79"/>
    <w:p w14:paraId="20C475F4" w14:textId="77777777" w:rsidR="00241F79" w:rsidRPr="004D20CD" w:rsidRDefault="00241F79" w:rsidP="00241F79">
      <w:pPr>
        <w:jc w:val="center"/>
        <w:rPr>
          <w:b/>
          <w:bCs/>
        </w:rPr>
      </w:pPr>
      <w:r w:rsidRPr="004D20CD">
        <w:rPr>
          <w:b/>
          <w:bCs/>
        </w:rPr>
        <w:t>§ 4.</w:t>
      </w:r>
    </w:p>
    <w:p w14:paraId="2BEDD41B" w14:textId="77777777" w:rsidR="00241F79" w:rsidRDefault="00241F79" w:rsidP="00241F79"/>
    <w:p w14:paraId="5DEEC7B4" w14:textId="77777777" w:rsidR="00241F79" w:rsidRDefault="00241F79" w:rsidP="00241F79">
      <w:r>
        <w:t xml:space="preserve">Uchwała wchodzi w życie z dniem podjęcia. </w:t>
      </w:r>
    </w:p>
    <w:p w14:paraId="2C703190" w14:textId="77777777" w:rsidR="00241F79" w:rsidRDefault="00241F79" w:rsidP="00241F79">
      <w:pPr>
        <w:rPr>
          <w:rFonts w:ascii="Arial" w:hAnsi="Arial" w:cs="Arial"/>
        </w:rPr>
      </w:pPr>
      <w:r>
        <w:rPr>
          <w:rFonts w:ascii="Arial" w:hAnsi="Arial" w:cs="Arial"/>
        </w:rPr>
        <w:br w:type="page"/>
      </w:r>
    </w:p>
    <w:p w14:paraId="58298FFD" w14:textId="77777777" w:rsidR="00241F79" w:rsidRDefault="00241F79" w:rsidP="00241F79">
      <w:pPr>
        <w:spacing w:line="360" w:lineRule="auto"/>
        <w:jc w:val="center"/>
        <w:rPr>
          <w:b/>
          <w:bCs/>
        </w:rPr>
      </w:pPr>
      <w:r w:rsidRPr="004D20CD">
        <w:rPr>
          <w:b/>
          <w:bCs/>
        </w:rPr>
        <w:lastRenderedPageBreak/>
        <w:t>Uzasadnienie</w:t>
      </w:r>
    </w:p>
    <w:p w14:paraId="4D85BF11" w14:textId="50FD0B10" w:rsidR="00241F79" w:rsidRPr="001A2276" w:rsidRDefault="00241F79" w:rsidP="00241F79">
      <w:pPr>
        <w:spacing w:line="360" w:lineRule="auto"/>
        <w:jc w:val="center"/>
        <w:rPr>
          <w:b/>
          <w:bCs/>
        </w:rPr>
      </w:pPr>
      <w:r w:rsidRPr="001A2276">
        <w:rPr>
          <w:b/>
          <w:bCs/>
        </w:rPr>
        <w:t xml:space="preserve">do uchwały nr </w:t>
      </w:r>
      <w:r w:rsidR="0014331A">
        <w:rPr>
          <w:b/>
          <w:bCs/>
        </w:rPr>
        <w:t>XIX</w:t>
      </w:r>
      <w:r w:rsidRPr="001A2276">
        <w:rPr>
          <w:b/>
          <w:bCs/>
        </w:rPr>
        <w:t>/</w:t>
      </w:r>
      <w:r w:rsidR="0014331A">
        <w:rPr>
          <w:b/>
          <w:bCs/>
        </w:rPr>
        <w:t>105</w:t>
      </w:r>
      <w:r w:rsidRPr="001A2276">
        <w:rPr>
          <w:b/>
          <w:bCs/>
        </w:rPr>
        <w:t>/2025</w:t>
      </w:r>
    </w:p>
    <w:p w14:paraId="1EFFC712" w14:textId="77777777" w:rsidR="00241F79" w:rsidRPr="001A2276" w:rsidRDefault="00241F79" w:rsidP="00241F79">
      <w:pPr>
        <w:spacing w:line="360" w:lineRule="auto"/>
        <w:jc w:val="center"/>
        <w:rPr>
          <w:b/>
          <w:bCs/>
        </w:rPr>
      </w:pPr>
      <w:r w:rsidRPr="001A2276">
        <w:rPr>
          <w:b/>
          <w:bCs/>
        </w:rPr>
        <w:t>Rady Miejskiej w Stawiszynie</w:t>
      </w:r>
    </w:p>
    <w:p w14:paraId="5584B37D" w14:textId="2F0371BB" w:rsidR="00241F79" w:rsidRPr="004D20CD" w:rsidRDefault="00241F79" w:rsidP="00241F79">
      <w:pPr>
        <w:spacing w:line="360" w:lineRule="auto"/>
        <w:jc w:val="center"/>
        <w:rPr>
          <w:b/>
          <w:bCs/>
        </w:rPr>
      </w:pPr>
      <w:r w:rsidRPr="001A2276">
        <w:rPr>
          <w:b/>
          <w:bCs/>
        </w:rPr>
        <w:t xml:space="preserve">z </w:t>
      </w:r>
      <w:r w:rsidR="0014331A">
        <w:rPr>
          <w:b/>
          <w:bCs/>
        </w:rPr>
        <w:t>10</w:t>
      </w:r>
      <w:r w:rsidRPr="001A2276">
        <w:rPr>
          <w:b/>
          <w:bCs/>
        </w:rPr>
        <w:t xml:space="preserve"> września 2025 r.</w:t>
      </w:r>
    </w:p>
    <w:p w14:paraId="5EE693DB" w14:textId="77777777" w:rsidR="00241F79" w:rsidRDefault="00241F79" w:rsidP="00241F79">
      <w:pPr>
        <w:spacing w:line="360" w:lineRule="auto"/>
        <w:ind w:firstLine="708"/>
        <w:jc w:val="both"/>
      </w:pPr>
      <w:r>
        <w:t>Zgodnie z treścią przepisu art. 227 u</w:t>
      </w:r>
      <w:r w:rsidRPr="00A14FF1">
        <w:t>staw</w:t>
      </w:r>
      <w:r>
        <w:t>y</w:t>
      </w:r>
      <w:r w:rsidRPr="00A14FF1">
        <w:t xml:space="preserve"> z dnia 14 czerwca 1960 r. Kodeks postępowania administracyjnego (t.j. Dz. U. z 2024 r. poz. 572 z późn. zm.</w:t>
      </w:r>
      <w:r>
        <w:t>, dalej k.p.a.</w:t>
      </w:r>
      <w:r w:rsidRPr="00A14FF1">
        <w:t>)</w:t>
      </w:r>
      <w:r>
        <w:t>, p</w:t>
      </w:r>
      <w:r w:rsidRPr="00A14FF1">
        <w:t>rzedmiotem skargi może być w szczególności zaniedbanie lub nienależyte wykonywanie zadań przez właściwe organy albo przez ich pracowników, naruszenie praworządności lub interesów skarżących, a także przewlekłe lub biurokratyczne załatwianie spraw.</w:t>
      </w:r>
      <w:r>
        <w:t xml:space="preserve"> Dalej, zgodnie z treścią przepisu art. 229 pkt 3 k.p.a., </w:t>
      </w:r>
      <w:r w:rsidRPr="009E1FF9">
        <w:t>właściwym do rozpatrzenia skargi dotyczącej zadań lub działalności</w:t>
      </w:r>
      <w:r>
        <w:t xml:space="preserve"> </w:t>
      </w:r>
      <w:r w:rsidRPr="009E1FF9">
        <w:t xml:space="preserve">wójta (burmistrza lub prezydenta miasta) </w:t>
      </w:r>
      <w:r>
        <w:t>jest rada gminy. Na podstawie przepisu art. 18b u</w:t>
      </w:r>
      <w:r w:rsidRPr="009E1FF9">
        <w:t>staw</w:t>
      </w:r>
      <w:r>
        <w:t>y</w:t>
      </w:r>
      <w:r w:rsidRPr="009E1FF9">
        <w:t xml:space="preserve"> z dnia 8 marca 1990 r. o samorządzie gminnym (t.j. Dz. U. z 2025 r. poz. 1153) </w:t>
      </w:r>
      <w:r>
        <w:t>r</w:t>
      </w:r>
      <w:r w:rsidRPr="009E1FF9">
        <w:t xml:space="preserve">ada gminy </w:t>
      </w:r>
      <w:r>
        <w:t xml:space="preserve">celem </w:t>
      </w:r>
      <w:r w:rsidRPr="009E1FF9">
        <w:t>rozpatr</w:t>
      </w:r>
      <w:r>
        <w:t>ywania</w:t>
      </w:r>
      <w:r w:rsidRPr="009E1FF9">
        <w:t xml:space="preserve"> skarg na działania wójta i gminnych jednostek organizacyjnych powołuje komisję skarg, wniosków i petycji.</w:t>
      </w:r>
      <w:r>
        <w:t xml:space="preserve"> W przedmiotowej sprawie</w:t>
      </w:r>
      <w:r w:rsidRPr="009E1FF9">
        <w:t xml:space="preserve"> Komisja Skarg, Wniosków i Petycji przy Radzie Miejskiej w Stawiszynie </w:t>
      </w:r>
      <w:r>
        <w:t>podjęła uchwałę z dnia ….. września 2025 roku numer …/2025, w treści której zaopiniowała skargę na Burmistrza jako bezpodstawną. Komisja przedstawiła w tym zakresie uzasadnienie. Komisja p</w:t>
      </w:r>
      <w:r w:rsidRPr="000E3A5C">
        <w:t>o przeanalizowaniu treści skargi</w:t>
      </w:r>
      <w:r>
        <w:t xml:space="preserve"> </w:t>
      </w:r>
      <w:r w:rsidRPr="000E3A5C">
        <w:t>wyodrębniła jej części</w:t>
      </w:r>
      <w:r>
        <w:t xml:space="preserve"> dotyczącą działań Przewodniczącego Rady Miejskiej, którą zajmuje się Wojewoda Wielkopolski</w:t>
      </w:r>
      <w:r w:rsidRPr="000E3A5C">
        <w:t>.</w:t>
      </w:r>
    </w:p>
    <w:p w14:paraId="4EC32368" w14:textId="77777777" w:rsidR="00241F79" w:rsidRDefault="00241F79" w:rsidP="00241F79">
      <w:pPr>
        <w:spacing w:line="360" w:lineRule="auto"/>
        <w:ind w:firstLine="708"/>
        <w:jc w:val="both"/>
      </w:pPr>
      <w:r>
        <w:t xml:space="preserve">Komisja po zapoznaniu się z nagraniami i protokołem XIV sesji Rady Miejskiej w Stawiszynie, która odbyła się w dniu 26 marca 2025 roku ustaliła co następuje. Na nagraniu opublikowanym zgodnie z treścią przepisu art. 20 ust. 1b ustawy z dnia 8 marca 1990 r. o samorządzie gminnym (t.j. Dz. U. z 2025 r. poz. 1153) doszło do wyciszenia niektórych fragmentów, które dotyczyły swobodnej konwersacji pomiędzy Przewodniczącym Rady a Burmistrzem, które nie były częścią wypowiedzi w ramach obrad Rady Miejskiej, a zostały uchwycone przez mikrofony. Przedmiotowe zachowanie jednak nie naruszyło przepisów ustaw wymienionych w skardze, ponieważ udostępnienie nagrania ma za cel realizowania praw obywateli do informacji publicznej.  Za taką uznaje się każdą informację wytworzoną przez władze publiczne, przez osoby pełniące funkcje publiczne oraz inne podmioty, które gospodarują mieniem publicznym, jak również informację odnoszącą się do wspomnianych władz, osób i innych podmiotów, niezależnie od tego, przez kogo zostały wytworzone. Pojęcie informacji publicznej odnosi się zatem do wszelkich faktów dotyczących spraw publicznych i tych, które odnoszą się do publicznej sfery działalności. Fragmenty nagrania wyciszone zgodnie z wyjaśnieniami Burmistrza Stawiszyna nie miały charakteru wystąpienia publicznego mającego miejsca na sesji obrad Rady Miejskiej, które zgodnie z prawem musi być upublicznione.  W publikowanych nagraniach należy natomiast zanonimizować dane, które nie mają charakteru informacji publicznej, w tym także przypadkowe wypowiedzi, które nie mieszczą </w:t>
      </w:r>
      <w:r>
        <w:lastRenderedPageBreak/>
        <w:t xml:space="preserve">się w ramach wystąpienia publicznego. Nie stanowi to przerobienia nagrania, a publikowane nagranie stanowią jego kopię zawierającą jedynie informacje publiczną. W świetle powyższych ustaleń nie można przyjąć, że skarga jest zasadna w przedmiocie naruszenia prawa poprzez wyciszenie kilku fragmentów w opublikowanym nagraniu z sesji, skoro fragmenty te nie zawierały wystąpień publicznych. Ocena komisji była by odmienna gdyby fragmenty te zawierały wypowiedzi merytoryczne i wygłaszane publicznie. </w:t>
      </w:r>
    </w:p>
    <w:p w14:paraId="2F32275F" w14:textId="77777777" w:rsidR="00241F79" w:rsidRDefault="00241F79" w:rsidP="00241F79">
      <w:pPr>
        <w:spacing w:line="360" w:lineRule="auto"/>
        <w:ind w:firstLine="708"/>
        <w:jc w:val="both"/>
      </w:pPr>
      <w:r>
        <w:t xml:space="preserve">W ocenie Komisji brak jest również podstaw do uznania, że Burmistrz Stawiszyna na posiedzeniu XIV sesji Rady Miejskiej w Stawiszynie, która odbyła się w dniu 26 marca 2025 roku uniemożliwił swobodną wypowiedz Skarżącemu. Burmistrz Stawiszyna nie prowadzi obrad Rady Miejskiej. Obradami kieruje Przewodniczący Rady i to on udziela głosu. Po zbadaniu przebiegu obrad brak jest podstaw do przyjęcia, że Burmistrz Stawiszyna uniemożliwił wypowiedz Skarżącemu. Komisja przy tym zaznaczyła, że nie ocenia zachowania Przewodniczącego Rady za racji braku ku temu umocowania ustawowego.  </w:t>
      </w:r>
    </w:p>
    <w:p w14:paraId="321D3224" w14:textId="77777777" w:rsidR="00241F79" w:rsidRPr="000E3A5C" w:rsidRDefault="00241F79" w:rsidP="00241F79">
      <w:pPr>
        <w:spacing w:line="360" w:lineRule="auto"/>
        <w:ind w:firstLine="708"/>
        <w:jc w:val="both"/>
      </w:pPr>
      <w:r>
        <w:t xml:space="preserve">Rada przyjmuje, że analiza zarzutów daje podstawę do uznania, że zarzuty stawiane Burmistrzowi Stawiszyna w skardze są bezzasadne. </w:t>
      </w:r>
    </w:p>
    <w:p w14:paraId="2519659F" w14:textId="77777777" w:rsidR="00241F79" w:rsidRPr="0066686A" w:rsidRDefault="00241F79" w:rsidP="00241F79">
      <w:pPr>
        <w:spacing w:line="312" w:lineRule="auto"/>
        <w:ind w:firstLine="708"/>
        <w:jc w:val="both"/>
      </w:pPr>
      <w:r w:rsidRPr="0066686A">
        <w:t>Mając na uwadze powyższe okoliczności faktycznie oraz prawne – podjęcie uchwały</w:t>
      </w:r>
      <w:r>
        <w:t xml:space="preserve"> </w:t>
      </w:r>
      <w:r w:rsidRPr="0066686A">
        <w:t>znajduje uzasadnienie.</w:t>
      </w:r>
    </w:p>
    <w:p w14:paraId="140DDC2B" w14:textId="77777777" w:rsidR="002879AE" w:rsidRDefault="002879AE"/>
    <w:sectPr w:rsidR="002879AE" w:rsidSect="00241F79">
      <w:footerReference w:type="even" r:id="rId6"/>
      <w:footerReference w:type="default" r:id="rId7"/>
      <w:pgSz w:w="11906" w:h="16838" w:code="9"/>
      <w:pgMar w:top="1134" w:right="1134" w:bottom="1134" w:left="1134" w:header="709" w:footer="70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88BD5" w14:textId="77777777" w:rsidR="005301EE" w:rsidRDefault="005301EE">
      <w:r>
        <w:separator/>
      </w:r>
    </w:p>
  </w:endnote>
  <w:endnote w:type="continuationSeparator" w:id="0">
    <w:p w14:paraId="1053E6CD" w14:textId="77777777" w:rsidR="005301EE" w:rsidRDefault="00530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C56BB" w14:textId="77777777" w:rsidR="00241F79" w:rsidRDefault="00241F79" w:rsidP="00253EAF">
    <w:pPr>
      <w:pStyle w:val="Stopka"/>
      <w:framePr w:wrap="around" w:vAnchor="text" w:hAnchor="margin" w:xAlign="right" w:y="1"/>
      <w:rPr>
        <w:rStyle w:val="Numerstrony"/>
        <w:rFonts w:eastAsiaTheme="majorEastAsia"/>
      </w:rPr>
    </w:pPr>
    <w:r>
      <w:rPr>
        <w:rStyle w:val="Numerstrony"/>
        <w:rFonts w:eastAsiaTheme="majorEastAsia"/>
      </w:rPr>
      <w:fldChar w:fldCharType="begin"/>
    </w:r>
    <w:r>
      <w:rPr>
        <w:rStyle w:val="Numerstrony"/>
        <w:rFonts w:eastAsiaTheme="majorEastAsia"/>
      </w:rPr>
      <w:instrText xml:space="preserve">PAGE  </w:instrText>
    </w:r>
    <w:r>
      <w:rPr>
        <w:rStyle w:val="Numerstrony"/>
        <w:rFonts w:eastAsiaTheme="majorEastAsia"/>
      </w:rPr>
      <w:fldChar w:fldCharType="end"/>
    </w:r>
  </w:p>
  <w:p w14:paraId="23783933" w14:textId="77777777" w:rsidR="00241F79" w:rsidRDefault="00241F79" w:rsidP="00E83CB3">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47F52" w14:textId="77777777" w:rsidR="00241F79" w:rsidRPr="00253EAF" w:rsidRDefault="00241F79" w:rsidP="00E83CB3">
    <w:pPr>
      <w:pStyle w:val="Stopka"/>
      <w:ind w:right="360"/>
      <w:jc w:val="right"/>
      <w:rPr>
        <w:rFonts w:ascii="Arial" w:hAnsi="Arial" w:cs="Arial"/>
        <w:sz w:val="20"/>
        <w:szCs w:val="20"/>
      </w:rPr>
    </w:pPr>
    <w:r w:rsidRPr="00253EAF">
      <w:rPr>
        <w:rStyle w:val="Numerstrony"/>
        <w:rFonts w:ascii="Arial" w:eastAsiaTheme="majorEastAsia" w:hAnsi="Arial" w:cs="Arial"/>
        <w:sz w:val="20"/>
        <w:szCs w:val="20"/>
      </w:rPr>
      <w:t xml:space="preserve">Strona </w:t>
    </w:r>
    <w:r w:rsidRPr="00253EAF">
      <w:rPr>
        <w:rStyle w:val="Numerstrony"/>
        <w:rFonts w:ascii="Arial" w:eastAsiaTheme="majorEastAsia" w:hAnsi="Arial" w:cs="Arial"/>
        <w:sz w:val="20"/>
        <w:szCs w:val="20"/>
      </w:rPr>
      <w:fldChar w:fldCharType="begin"/>
    </w:r>
    <w:r w:rsidRPr="00253EAF">
      <w:rPr>
        <w:rStyle w:val="Numerstrony"/>
        <w:rFonts w:ascii="Arial" w:eastAsiaTheme="majorEastAsia" w:hAnsi="Arial" w:cs="Arial"/>
        <w:sz w:val="20"/>
        <w:szCs w:val="20"/>
      </w:rPr>
      <w:instrText xml:space="preserve"> PAGE </w:instrText>
    </w:r>
    <w:r w:rsidRPr="00253EAF">
      <w:rPr>
        <w:rStyle w:val="Numerstrony"/>
        <w:rFonts w:ascii="Arial" w:eastAsiaTheme="majorEastAsia" w:hAnsi="Arial" w:cs="Arial"/>
        <w:sz w:val="20"/>
        <w:szCs w:val="20"/>
      </w:rPr>
      <w:fldChar w:fldCharType="separate"/>
    </w:r>
    <w:r>
      <w:rPr>
        <w:rStyle w:val="Numerstrony"/>
        <w:rFonts w:ascii="Arial" w:eastAsiaTheme="majorEastAsia" w:hAnsi="Arial" w:cs="Arial"/>
        <w:noProof/>
        <w:sz w:val="20"/>
        <w:szCs w:val="20"/>
      </w:rPr>
      <w:t>1</w:t>
    </w:r>
    <w:r w:rsidRPr="00253EAF">
      <w:rPr>
        <w:rStyle w:val="Numerstrony"/>
        <w:rFonts w:ascii="Arial" w:eastAsiaTheme="majorEastAsia" w:hAnsi="Arial" w:cs="Arial"/>
        <w:sz w:val="20"/>
        <w:szCs w:val="20"/>
      </w:rPr>
      <w:fldChar w:fldCharType="end"/>
    </w:r>
    <w:r w:rsidRPr="00253EAF">
      <w:rPr>
        <w:rStyle w:val="Numerstrony"/>
        <w:rFonts w:ascii="Arial" w:eastAsiaTheme="majorEastAsia" w:hAnsi="Arial" w:cs="Arial"/>
        <w:sz w:val="20"/>
        <w:szCs w:val="20"/>
      </w:rPr>
      <w:t xml:space="preserve"> z </w:t>
    </w:r>
    <w:r w:rsidRPr="00253EAF">
      <w:rPr>
        <w:rStyle w:val="Numerstrony"/>
        <w:rFonts w:ascii="Arial" w:eastAsiaTheme="majorEastAsia" w:hAnsi="Arial" w:cs="Arial"/>
        <w:sz w:val="20"/>
        <w:szCs w:val="20"/>
      </w:rPr>
      <w:fldChar w:fldCharType="begin"/>
    </w:r>
    <w:r w:rsidRPr="00253EAF">
      <w:rPr>
        <w:rStyle w:val="Numerstrony"/>
        <w:rFonts w:ascii="Arial" w:eastAsiaTheme="majorEastAsia" w:hAnsi="Arial" w:cs="Arial"/>
        <w:sz w:val="20"/>
        <w:szCs w:val="20"/>
      </w:rPr>
      <w:instrText xml:space="preserve"> NUMPAGES </w:instrText>
    </w:r>
    <w:r w:rsidRPr="00253EAF">
      <w:rPr>
        <w:rStyle w:val="Numerstrony"/>
        <w:rFonts w:ascii="Arial" w:eastAsiaTheme="majorEastAsia" w:hAnsi="Arial" w:cs="Arial"/>
        <w:sz w:val="20"/>
        <w:szCs w:val="20"/>
      </w:rPr>
      <w:fldChar w:fldCharType="separate"/>
    </w:r>
    <w:r>
      <w:rPr>
        <w:rStyle w:val="Numerstrony"/>
        <w:rFonts w:ascii="Arial" w:eastAsiaTheme="majorEastAsia" w:hAnsi="Arial" w:cs="Arial"/>
        <w:noProof/>
        <w:sz w:val="20"/>
        <w:szCs w:val="20"/>
      </w:rPr>
      <w:t>2</w:t>
    </w:r>
    <w:r w:rsidRPr="00253EAF">
      <w:rPr>
        <w:rStyle w:val="Numerstrony"/>
        <w:rFonts w:ascii="Arial" w:eastAsiaTheme="majorEastAsia"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12E3A" w14:textId="77777777" w:rsidR="005301EE" w:rsidRDefault="005301EE">
      <w:r>
        <w:separator/>
      </w:r>
    </w:p>
  </w:footnote>
  <w:footnote w:type="continuationSeparator" w:id="0">
    <w:p w14:paraId="03B04D51" w14:textId="77777777" w:rsidR="005301EE" w:rsidRDefault="005301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F79"/>
    <w:rsid w:val="0014331A"/>
    <w:rsid w:val="00241F79"/>
    <w:rsid w:val="002879AE"/>
    <w:rsid w:val="005301EE"/>
    <w:rsid w:val="00607974"/>
    <w:rsid w:val="0067069D"/>
    <w:rsid w:val="008A0A88"/>
    <w:rsid w:val="00C12551"/>
    <w:rsid w:val="00F6069F"/>
    <w:rsid w:val="00FB6D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AA95A"/>
  <w15:chartTrackingRefBased/>
  <w15:docId w15:val="{53D0DA73-3556-45EB-9B3F-02BBAB04D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41F79"/>
    <w:pPr>
      <w:spacing w:after="0" w:line="240" w:lineRule="auto"/>
    </w:pPr>
    <w:rPr>
      <w:rFonts w:ascii="Times New Roman" w:eastAsia="Times New Roman" w:hAnsi="Times New Roman" w:cs="Times New Roman"/>
      <w:kern w:val="0"/>
      <w:lang w:eastAsia="pl-PL"/>
      <w14:ligatures w14:val="none"/>
    </w:rPr>
  </w:style>
  <w:style w:type="paragraph" w:styleId="Nagwek1">
    <w:name w:val="heading 1"/>
    <w:basedOn w:val="Normalny"/>
    <w:next w:val="Normalny"/>
    <w:link w:val="Nagwek1Znak"/>
    <w:uiPriority w:val="9"/>
    <w:qFormat/>
    <w:rsid w:val="00241F7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Nagwek2">
    <w:name w:val="heading 2"/>
    <w:basedOn w:val="Normalny"/>
    <w:next w:val="Normalny"/>
    <w:link w:val="Nagwek2Znak"/>
    <w:uiPriority w:val="9"/>
    <w:semiHidden/>
    <w:unhideWhenUsed/>
    <w:qFormat/>
    <w:rsid w:val="00241F7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Nagwek3">
    <w:name w:val="heading 3"/>
    <w:basedOn w:val="Normalny"/>
    <w:next w:val="Normalny"/>
    <w:link w:val="Nagwek3Znak"/>
    <w:uiPriority w:val="9"/>
    <w:semiHidden/>
    <w:unhideWhenUsed/>
    <w:qFormat/>
    <w:rsid w:val="00241F7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Nagwek4">
    <w:name w:val="heading 4"/>
    <w:basedOn w:val="Normalny"/>
    <w:next w:val="Normalny"/>
    <w:link w:val="Nagwek4Znak"/>
    <w:uiPriority w:val="9"/>
    <w:semiHidden/>
    <w:unhideWhenUsed/>
    <w:qFormat/>
    <w:rsid w:val="00241F79"/>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Nagwek5">
    <w:name w:val="heading 5"/>
    <w:basedOn w:val="Normalny"/>
    <w:next w:val="Normalny"/>
    <w:link w:val="Nagwek5Znak"/>
    <w:uiPriority w:val="9"/>
    <w:semiHidden/>
    <w:unhideWhenUsed/>
    <w:qFormat/>
    <w:rsid w:val="00241F79"/>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Nagwek6">
    <w:name w:val="heading 6"/>
    <w:basedOn w:val="Normalny"/>
    <w:next w:val="Normalny"/>
    <w:link w:val="Nagwek6Znak"/>
    <w:uiPriority w:val="9"/>
    <w:semiHidden/>
    <w:unhideWhenUsed/>
    <w:qFormat/>
    <w:rsid w:val="00241F79"/>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Nagwek7">
    <w:name w:val="heading 7"/>
    <w:basedOn w:val="Normalny"/>
    <w:next w:val="Normalny"/>
    <w:link w:val="Nagwek7Znak"/>
    <w:uiPriority w:val="9"/>
    <w:semiHidden/>
    <w:unhideWhenUsed/>
    <w:qFormat/>
    <w:rsid w:val="00241F79"/>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Nagwek8">
    <w:name w:val="heading 8"/>
    <w:basedOn w:val="Normalny"/>
    <w:next w:val="Normalny"/>
    <w:link w:val="Nagwek8Znak"/>
    <w:uiPriority w:val="9"/>
    <w:semiHidden/>
    <w:unhideWhenUsed/>
    <w:qFormat/>
    <w:rsid w:val="00241F79"/>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Nagwek9">
    <w:name w:val="heading 9"/>
    <w:basedOn w:val="Normalny"/>
    <w:next w:val="Normalny"/>
    <w:link w:val="Nagwek9Znak"/>
    <w:uiPriority w:val="9"/>
    <w:semiHidden/>
    <w:unhideWhenUsed/>
    <w:qFormat/>
    <w:rsid w:val="00241F79"/>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41F79"/>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241F79"/>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241F79"/>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241F79"/>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241F79"/>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241F7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41F7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41F7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41F79"/>
    <w:rPr>
      <w:rFonts w:eastAsiaTheme="majorEastAsia" w:cstheme="majorBidi"/>
      <w:color w:val="272727" w:themeColor="text1" w:themeTint="D8"/>
    </w:rPr>
  </w:style>
  <w:style w:type="paragraph" w:styleId="Tytu">
    <w:name w:val="Title"/>
    <w:basedOn w:val="Normalny"/>
    <w:next w:val="Normalny"/>
    <w:link w:val="TytuZnak"/>
    <w:uiPriority w:val="10"/>
    <w:qFormat/>
    <w:rsid w:val="00241F79"/>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ytuZnak">
    <w:name w:val="Tytuł Znak"/>
    <w:basedOn w:val="Domylnaczcionkaakapitu"/>
    <w:link w:val="Tytu"/>
    <w:uiPriority w:val="10"/>
    <w:rsid w:val="00241F7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41F7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tytuZnak">
    <w:name w:val="Podtytuł Znak"/>
    <w:basedOn w:val="Domylnaczcionkaakapitu"/>
    <w:link w:val="Podtytu"/>
    <w:uiPriority w:val="11"/>
    <w:rsid w:val="00241F7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41F79"/>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ytatZnak">
    <w:name w:val="Cytat Znak"/>
    <w:basedOn w:val="Domylnaczcionkaakapitu"/>
    <w:link w:val="Cytat"/>
    <w:uiPriority w:val="29"/>
    <w:rsid w:val="00241F79"/>
    <w:rPr>
      <w:i/>
      <w:iCs/>
      <w:color w:val="404040" w:themeColor="text1" w:themeTint="BF"/>
    </w:rPr>
  </w:style>
  <w:style w:type="paragraph" w:styleId="Akapitzlist">
    <w:name w:val="List Paragraph"/>
    <w:basedOn w:val="Normalny"/>
    <w:uiPriority w:val="34"/>
    <w:qFormat/>
    <w:rsid w:val="00241F79"/>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Wyrnienieintensywne">
    <w:name w:val="Intense Emphasis"/>
    <w:basedOn w:val="Domylnaczcionkaakapitu"/>
    <w:uiPriority w:val="21"/>
    <w:qFormat/>
    <w:rsid w:val="00241F79"/>
    <w:rPr>
      <w:i/>
      <w:iCs/>
      <w:color w:val="0F4761" w:themeColor="accent1" w:themeShade="BF"/>
    </w:rPr>
  </w:style>
  <w:style w:type="paragraph" w:styleId="Cytatintensywny">
    <w:name w:val="Intense Quote"/>
    <w:basedOn w:val="Normalny"/>
    <w:next w:val="Normalny"/>
    <w:link w:val="CytatintensywnyZnak"/>
    <w:uiPriority w:val="30"/>
    <w:qFormat/>
    <w:rsid w:val="00241F7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ytatintensywnyZnak">
    <w:name w:val="Cytat intensywny Znak"/>
    <w:basedOn w:val="Domylnaczcionkaakapitu"/>
    <w:link w:val="Cytatintensywny"/>
    <w:uiPriority w:val="30"/>
    <w:rsid w:val="00241F79"/>
    <w:rPr>
      <w:i/>
      <w:iCs/>
      <w:color w:val="0F4761" w:themeColor="accent1" w:themeShade="BF"/>
    </w:rPr>
  </w:style>
  <w:style w:type="character" w:styleId="Odwoanieintensywne">
    <w:name w:val="Intense Reference"/>
    <w:basedOn w:val="Domylnaczcionkaakapitu"/>
    <w:uiPriority w:val="32"/>
    <w:qFormat/>
    <w:rsid w:val="00241F79"/>
    <w:rPr>
      <w:b/>
      <w:bCs/>
      <w:smallCaps/>
      <w:color w:val="0F4761" w:themeColor="accent1" w:themeShade="BF"/>
      <w:spacing w:val="5"/>
    </w:rPr>
  </w:style>
  <w:style w:type="paragraph" w:styleId="Stopka">
    <w:name w:val="footer"/>
    <w:basedOn w:val="Normalny"/>
    <w:link w:val="StopkaZnak"/>
    <w:rsid w:val="00241F79"/>
    <w:pPr>
      <w:tabs>
        <w:tab w:val="center" w:pos="4536"/>
        <w:tab w:val="right" w:pos="9072"/>
      </w:tabs>
    </w:pPr>
  </w:style>
  <w:style w:type="character" w:customStyle="1" w:styleId="StopkaZnak">
    <w:name w:val="Stopka Znak"/>
    <w:basedOn w:val="Domylnaczcionkaakapitu"/>
    <w:link w:val="Stopka"/>
    <w:rsid w:val="00241F79"/>
    <w:rPr>
      <w:rFonts w:ascii="Times New Roman" w:eastAsia="Times New Roman" w:hAnsi="Times New Roman" w:cs="Times New Roman"/>
      <w:kern w:val="0"/>
      <w:lang w:eastAsia="pl-PL"/>
      <w14:ligatures w14:val="none"/>
    </w:rPr>
  </w:style>
  <w:style w:type="character" w:styleId="Numerstrony">
    <w:name w:val="page number"/>
    <w:basedOn w:val="Domylnaczcionkaakapitu"/>
    <w:rsid w:val="00241F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725</Words>
  <Characters>4352</Characters>
  <Application>Microsoft Office Word</Application>
  <DocSecurity>0</DocSecurity>
  <Lines>36</Lines>
  <Paragraphs>10</Paragraphs>
  <ScaleCrop>false</ScaleCrop>
  <Company/>
  <LinksUpToDate>false</LinksUpToDate>
  <CharactersWithSpaces>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Gmina i Miasto Stawiszyn</dc:creator>
  <cp:keywords/>
  <dc:description/>
  <cp:lastModifiedBy>Gmina i Miasto Stawiszyn</cp:lastModifiedBy>
  <cp:revision>3</cp:revision>
  <dcterms:created xsi:type="dcterms:W3CDTF">2025-09-09T10:21:00Z</dcterms:created>
  <dcterms:modified xsi:type="dcterms:W3CDTF">2025-09-09T10:54:00Z</dcterms:modified>
</cp:coreProperties>
</file>